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color="auto" w:fill="auto"/>
        <w:bidi w:val="0"/>
        <w:spacing w:before="0" w:after="0" w:line="560" w:lineRule="exact"/>
        <w:ind w:right="0"/>
        <w:jc w:val="both"/>
        <w:rPr>
          <w:rFonts w:hint="eastAsia" w:ascii="黑体" w:hAnsi="黑体" w:eastAsia="黑体" w:cs="黑体"/>
          <w:color w:val="000000"/>
          <w:spacing w:val="0"/>
          <w:w w:val="100"/>
          <w:kern w:val="0"/>
          <w:position w:val="0"/>
          <w:sz w:val="32"/>
          <w:szCs w:val="32"/>
          <w:u w:val="none"/>
          <w:shd w:val="clear" w:color="auto" w:fill="auto"/>
          <w:lang w:val="en-US" w:eastAsia="zh-CN" w:bidi="ar"/>
        </w:rPr>
      </w:pPr>
      <w:r>
        <w:rPr>
          <w:rFonts w:hint="eastAsia" w:ascii="黑体" w:hAnsi="黑体" w:eastAsia="黑体" w:cs="黑体"/>
          <w:color w:val="000000"/>
          <w:spacing w:val="0"/>
          <w:w w:val="100"/>
          <w:kern w:val="0"/>
          <w:position w:val="0"/>
          <w:sz w:val="32"/>
          <w:szCs w:val="32"/>
          <w:u w:val="none"/>
          <w:shd w:val="clear" w:color="auto" w:fill="auto"/>
          <w:lang w:val="en-US" w:eastAsia="zh-CN" w:bidi="ar"/>
        </w:rPr>
        <w:t>附件3</w:t>
      </w:r>
    </w:p>
    <w:p>
      <w:pPr>
        <w:keepNext w:val="0"/>
        <w:keepLines w:val="0"/>
        <w:widowControl/>
        <w:suppressLineNumbers w:val="0"/>
        <w:jc w:val="center"/>
        <w:rPr>
          <w:rFonts w:hint="eastAsia" w:ascii="华文中宋" w:hAnsi="华文中宋" w:eastAsia="华文中宋" w:cs="华文中宋"/>
          <w:color w:val="000000"/>
          <w:kern w:val="0"/>
          <w:sz w:val="43"/>
          <w:szCs w:val="43"/>
          <w:highlight w:val="none"/>
          <w:lang w:val="en-US" w:eastAsia="zh-CN" w:bidi="ar"/>
        </w:rPr>
      </w:pPr>
      <w:r>
        <w:rPr>
          <w:rFonts w:hint="eastAsia" w:ascii="方正小标宋_GBK" w:hAnsi="方正小标宋_GBK" w:eastAsia="方正小标宋_GBK" w:cs="方正小标宋_GBK"/>
          <w:b w:val="0"/>
          <w:bCs w:val="0"/>
          <w:sz w:val="44"/>
          <w:szCs w:val="44"/>
          <w:lang w:val="en-US" w:eastAsia="zh-CN"/>
        </w:rPr>
        <w:t>教学系2024年绩效考核业务性指标</w:t>
      </w:r>
    </w:p>
    <w:tbl>
      <w:tblPr>
        <w:tblStyle w:val="4"/>
        <w:tblW w:w="13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819"/>
        <w:gridCol w:w="8527"/>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b/>
                <w:bCs/>
                <w:kern w:val="2"/>
                <w:sz w:val="28"/>
                <w:szCs w:val="28"/>
                <w:highlight w:val="none"/>
                <w:vertAlign w:val="baseline"/>
                <w:lang w:val="en-US" w:eastAsia="zh-CN" w:bidi="ar-SA"/>
              </w:rPr>
              <w:t>考核内容</w:t>
            </w: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b/>
                <w:bCs/>
                <w:kern w:val="2"/>
                <w:sz w:val="28"/>
                <w:szCs w:val="28"/>
                <w:highlight w:val="none"/>
                <w:vertAlign w:val="baseline"/>
                <w:lang w:val="en-US" w:eastAsia="zh-CN" w:bidi="ar-SA"/>
              </w:rPr>
              <w:t>考核要点</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b/>
                <w:bCs/>
                <w:kern w:val="2"/>
                <w:sz w:val="28"/>
                <w:szCs w:val="28"/>
                <w:highlight w:val="none"/>
                <w:vertAlign w:val="baseline"/>
                <w:lang w:val="en-US" w:eastAsia="zh-CN" w:bidi="ar-SA"/>
              </w:rPr>
              <w:t>考核标准</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b/>
                <w:bCs/>
                <w:kern w:val="2"/>
                <w:sz w:val="28"/>
                <w:szCs w:val="28"/>
                <w:highlight w:val="none"/>
                <w:vertAlign w:val="baseline"/>
                <w:lang w:val="en-US" w:eastAsia="zh-CN" w:bidi="ar-SA"/>
              </w:rPr>
              <w:t>考核牵头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1595" w:type="dxa"/>
            <w:vMerge w:val="restart"/>
            <w:tcBorders>
              <w:top w:val="single" w:color="auto" w:sz="4" w:space="0"/>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1.教学工作（10分）</w:t>
            </w:r>
          </w:p>
        </w:tc>
        <w:tc>
          <w:tcPr>
            <w:tcW w:w="1819" w:type="dxa"/>
            <w:tcBorders>
              <w:top w:val="single" w:color="auto" w:sz="4" w:space="0"/>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教学管理</w:t>
            </w:r>
          </w:p>
          <w:p>
            <w:pPr>
              <w:bidi w:val="0"/>
              <w:jc w:val="center"/>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教学管理制度健全，文件齐全并能及时完善，管理执行有效，并运用信息化手段进行教学管理（由教务处根据各系提供的管理文件及执行情况做定性评价）。（1分）</w:t>
            </w:r>
          </w:p>
        </w:tc>
        <w:tc>
          <w:tcPr>
            <w:tcW w:w="1448" w:type="dxa"/>
            <w:vMerge w:val="restart"/>
            <w:tcBorders>
              <w:top w:val="single" w:color="auto" w:sz="4" w:space="0"/>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学生技能等级证书获取情况（最高1分）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1.本学年在校生获证比例排名第一的系；（1分）</w:t>
            </w:r>
          </w:p>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2.本学年在校生获证比例排名第二的系；（0.8分）</w:t>
            </w:r>
          </w:p>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3.本学年在校生获证比例排名第三的系。（0.6分）</w:t>
            </w:r>
          </w:p>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（以在校生获证比例赋分，在校生获证比例指统计时段内参加在本校举行的职业技能等级证书考试、并获得证书的本校学生比例）</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专业、课程建设及人才培养标志性成果</w:t>
            </w:r>
          </w:p>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1.主要包括人才培养方案制定与实施、课程体系构建、课程内容优化、优质课建设等情况（学校人才培养方案符合国家要求，实践性教学学时占总学时50%以上）；（1分）建设校企合作优质课程；（1分）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2.在人才培养方面取得的厅级以上标志性成果；（1分）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企业兼职教师队伍建设</w:t>
            </w:r>
          </w:p>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1.有符合学校发展的兼职教师队伍；（0.3分）</w:t>
            </w:r>
          </w:p>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2.承担教学工作，参与学校专业建设、课程建设；（0.5分）</w:t>
            </w:r>
          </w:p>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3.兼职教师队伍中有经国家级、省级评定的大师名匠。（0.2分）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教学团队建设（最高2分）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1.国家级黄炎培杰出校长奖、杰出教师；（2分）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2.省级及以上教学团队、名师、技术能手、技能大师等荣誉；（1.6分）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3.市级教学团队、名师、技术能手、技能大师等荣誉；（1.2分）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4.校级教师团队。(0.8分）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教师比赛</w:t>
            </w:r>
          </w:p>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（最高1分）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1.国家级教学能力大赛一等奖（1分），国家级教学能力大赛二等奖（0.8分），国家级教学能力大赛三等奖；（0.6分）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2.省级教学能力大赛一等奖（0.5分），省级教学能力大赛二等奖（0.4分），省级教学能力大赛三等奖；（0.3分）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3.校级教学能力大赛一等奖。（0.2分）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学生竞赛</w:t>
            </w:r>
          </w:p>
          <w:p>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（最高1分）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1.全国职业院校技能大赛国赛一等奖（1分），全国职业院校技能大赛国赛二等奖（0.8分），全国职业院校技能大赛国赛三等奖；（0.6分）</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2.全国职业院校技能大赛省赛一等奖（0.5分），全国职业院校技能大赛省赛二等奖（0.4分），全国职业院校技能大赛省赛三等奖。（0.3分）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restart"/>
            <w:tcBorders>
              <w:left w:val="single" w:color="auto" w:sz="4" w:space="0"/>
              <w:right w:val="single" w:color="auto" w:sz="4" w:space="0"/>
              <w:tl2br w:val="nil"/>
              <w:tr2bl w:val="nil"/>
            </w:tcBorders>
            <w:noWrap w:val="0"/>
            <w:vAlign w:val="center"/>
          </w:tcPr>
          <w:p>
            <w:pPr>
              <w:bidi w:val="0"/>
              <w:jc w:val="center"/>
              <w:rPr>
                <w:rFonts w:hint="default"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2.产学合作工作（20分）</w:t>
            </w: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firstLine="0" w:firstLineChars="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校企合作</w:t>
            </w:r>
          </w:p>
          <w:p>
            <w:pPr>
              <w:numPr>
                <w:ilvl w:val="0"/>
                <w:numId w:val="0"/>
              </w:numPr>
              <w:ind w:left="0" w:leftChars="0" w:firstLine="0" w:firstLine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（5分）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1.合作建立各类实训基地；（2分）</w:t>
            </w:r>
          </w:p>
          <w:p>
            <w:pPr>
              <w:numPr>
                <w:ilvl w:val="0"/>
                <w:numId w:val="0"/>
              </w:numPr>
              <w:ind w:left="0" w:lef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2.开展订单班合作。（3分）</w:t>
            </w:r>
          </w:p>
        </w:tc>
        <w:tc>
          <w:tcPr>
            <w:tcW w:w="1448"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虚拟仿真实训基地</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1.建立虚拟仿真实训基地；（1分）</w:t>
            </w:r>
          </w:p>
          <w:p>
            <w:pPr>
              <w:numPr>
                <w:ilvl w:val="0"/>
                <w:numId w:val="0"/>
              </w:numPr>
              <w:ind w:left="0" w:lef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2.通过省级以上（含省级）项目验收。（1分）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技术技能平台</w:t>
            </w:r>
            <w:r>
              <w:rPr>
                <w:rFonts w:hint="eastAsia" w:ascii="仿宋_GB2312" w:hAnsi="仿宋_GB2312" w:eastAsia="仿宋_GB2312" w:cs="仿宋_GB2312"/>
                <w:kern w:val="2"/>
                <w:sz w:val="24"/>
                <w:szCs w:val="24"/>
                <w:highlight w:val="none"/>
                <w:lang w:val="en-US" w:eastAsia="zh-CN" w:bidi="ar-SA"/>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both"/>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1.建立由省级以上相关项目认定的技术技能大师工作室；（0.5分）</w:t>
            </w:r>
          </w:p>
          <w:p>
            <w:pPr>
              <w:numPr>
                <w:ilvl w:val="0"/>
                <w:numId w:val="0"/>
              </w:numPr>
              <w:ind w:left="0" w:leftChars="0" w:firstLine="0" w:firstLineChars="0"/>
              <w:jc w:val="both"/>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2.产出效益：1万-10万0.2分；10万-30万0.3分；30万以上0.5分。（0.5分）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firstLine="0" w:firstLineChars="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精品课程</w:t>
            </w:r>
          </w:p>
          <w:p>
            <w:pPr>
              <w:numPr>
                <w:ilvl w:val="0"/>
                <w:numId w:val="0"/>
              </w:numPr>
              <w:ind w:left="0" w:leftChars="0" w:firstLine="0" w:firstLine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2"/>
                <w:sz w:val="24"/>
                <w:szCs w:val="24"/>
                <w:highlight w:val="none"/>
                <w:lang w:val="en-US" w:eastAsia="zh-CN" w:bidi="ar-SA"/>
              </w:rPr>
              <w:t>1.获得</w:t>
            </w:r>
            <w:r>
              <w:rPr>
                <w:rFonts w:hint="eastAsia" w:ascii="仿宋_GB2312" w:hAnsi="仿宋_GB2312" w:eastAsia="仿宋_GB2312" w:cs="仿宋_GB2312"/>
                <w:sz w:val="24"/>
                <w:highlight w:val="none"/>
                <w:lang w:val="en-US" w:eastAsia="zh-CN"/>
              </w:rPr>
              <w:t>省级精品课认定；（1分）</w:t>
            </w:r>
          </w:p>
          <w:p>
            <w:pPr>
              <w:numPr>
                <w:ilvl w:val="0"/>
                <w:numId w:val="0"/>
              </w:num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2.获得</w:t>
            </w:r>
            <w:r>
              <w:rPr>
                <w:rFonts w:hint="eastAsia" w:ascii="仿宋_GB2312" w:hAnsi="仿宋_GB2312" w:eastAsia="仿宋_GB2312" w:cs="仿宋_GB2312"/>
                <w:sz w:val="24"/>
                <w:highlight w:val="none"/>
                <w:lang w:val="en-US" w:eastAsia="zh-CN"/>
              </w:rPr>
              <w:t>国家级精品课认定。（2分）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firstLine="0" w:firstLineChars="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资源库</w:t>
            </w:r>
          </w:p>
          <w:p>
            <w:pPr>
              <w:numPr>
                <w:ilvl w:val="0"/>
                <w:numId w:val="0"/>
              </w:numPr>
              <w:ind w:left="0" w:leftChars="0" w:firstLine="0" w:firstLineChars="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kern w:val="2"/>
                <w:sz w:val="24"/>
                <w:szCs w:val="24"/>
                <w:highlight w:val="none"/>
                <w:lang w:val="en-US" w:eastAsia="zh-CN" w:bidi="ar-SA"/>
              </w:rPr>
              <w:t>1.自建省级教学资源库；（0.5分）自建国家级教学资源库；（1分）</w:t>
            </w:r>
          </w:p>
          <w:p>
            <w:pPr>
              <w:numPr>
                <w:ilvl w:val="0"/>
                <w:numId w:val="0"/>
              </w:numPr>
              <w:ind w:left="0" w:leftChars="0" w:firstLine="0" w:firstLine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2.参与建设省级资源库；（0.5分）参与建设国家级资源库。（1分）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教材</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1.开发并投入使用一项活页式教材、数字教材、工作手册式新形态教材；（1分）</w:t>
            </w:r>
          </w:p>
          <w:p>
            <w:pPr>
              <w:numPr>
                <w:ilvl w:val="0"/>
                <w:numId w:val="0"/>
              </w:numPr>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2.开发并投入使用一项省级规划教材；（0.5分）开发并投入使用一项国家规划教材。（1分）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纵向课题</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Chars="0"/>
              <w:jc w:val="both"/>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val="en-US" w:eastAsia="zh-CN"/>
              </w:rPr>
              <w:t>1.</w:t>
            </w:r>
            <w:r>
              <w:rPr>
                <w:rFonts w:hint="eastAsia" w:ascii="仿宋_GB2312" w:hAnsi="仿宋_GB2312" w:eastAsia="仿宋_GB2312" w:cs="仿宋_GB2312"/>
                <w:color w:val="000000"/>
                <w:sz w:val="24"/>
                <w:highlight w:val="none"/>
              </w:rPr>
              <w:t>市级课题结项</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val="en-US" w:eastAsia="zh-CN"/>
              </w:rPr>
              <w:t>0.5</w:t>
            </w:r>
            <w:r>
              <w:rPr>
                <w:rFonts w:hint="eastAsia" w:ascii="仿宋_GB2312" w:hAnsi="仿宋_GB2312" w:eastAsia="仿宋_GB2312" w:cs="仿宋_GB2312"/>
                <w:color w:val="000000"/>
                <w:sz w:val="24"/>
                <w:highlight w:val="none"/>
              </w:rPr>
              <w:t>分）</w:t>
            </w:r>
          </w:p>
          <w:p>
            <w:pPr>
              <w:numPr>
                <w:ilvl w:val="0"/>
                <w:numId w:val="0"/>
              </w:numPr>
              <w:ind w:left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2.</w:t>
            </w:r>
            <w:r>
              <w:rPr>
                <w:rFonts w:hint="eastAsia" w:ascii="仿宋_GB2312" w:hAnsi="仿宋_GB2312" w:eastAsia="仿宋_GB2312" w:cs="仿宋_GB2312"/>
                <w:color w:val="000000"/>
                <w:sz w:val="24"/>
                <w:highlight w:val="none"/>
              </w:rPr>
              <w:t>省级课题结项</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val="en-US" w:eastAsia="zh-CN"/>
              </w:rPr>
              <w:t>1</w:t>
            </w:r>
            <w:r>
              <w:rPr>
                <w:rFonts w:hint="eastAsia" w:ascii="仿宋_GB2312" w:hAnsi="仿宋_GB2312" w:eastAsia="仿宋_GB2312" w:cs="仿宋_GB2312"/>
                <w:color w:val="000000"/>
                <w:sz w:val="24"/>
                <w:highlight w:val="none"/>
              </w:rPr>
              <w:t>分）</w:t>
            </w:r>
          </w:p>
          <w:p>
            <w:pPr>
              <w:numPr>
                <w:ilvl w:val="0"/>
                <w:numId w:val="0"/>
              </w:numPr>
              <w:ind w:left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3.</w:t>
            </w:r>
            <w:r>
              <w:rPr>
                <w:rFonts w:hint="eastAsia" w:ascii="仿宋_GB2312" w:hAnsi="仿宋_GB2312" w:eastAsia="仿宋_GB2312" w:cs="仿宋_GB2312"/>
                <w:color w:val="000000"/>
                <w:sz w:val="24"/>
                <w:highlight w:val="none"/>
              </w:rPr>
              <w:t>国家级课题结项</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val="en-US" w:eastAsia="zh-CN"/>
              </w:rPr>
              <w:t>2</w:t>
            </w:r>
            <w:r>
              <w:rPr>
                <w:rFonts w:hint="eastAsia" w:ascii="仿宋_GB2312" w:hAnsi="仿宋_GB2312" w:eastAsia="仿宋_GB2312" w:cs="仿宋_GB2312"/>
                <w:color w:val="000000"/>
                <w:sz w:val="24"/>
                <w:highlight w:val="none"/>
              </w:rPr>
              <w:t>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横向课题</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Chars="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1.到账经费5-10万；（0.1分）</w:t>
            </w:r>
          </w:p>
          <w:p>
            <w:pPr>
              <w:numPr>
                <w:ilvl w:val="0"/>
                <w:numId w:val="0"/>
              </w:numPr>
              <w:ind w:leftChars="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2.到账经费10万（含）-30万；（0.2分）</w:t>
            </w:r>
          </w:p>
          <w:p>
            <w:pPr>
              <w:numPr>
                <w:ilvl w:val="0"/>
                <w:numId w:val="0"/>
              </w:numPr>
              <w:ind w:leftChars="0"/>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3.到账经费30万（含）-50万；（0.5分）</w:t>
            </w:r>
          </w:p>
          <w:p>
            <w:pPr>
              <w:numPr>
                <w:ilvl w:val="0"/>
                <w:numId w:val="0"/>
              </w:numPr>
              <w:ind w:left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4.到账经费50万及以上。（1分）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论文</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color w:val="000000"/>
                <w:sz w:val="24"/>
                <w:highlight w:val="none"/>
                <w:lang w:val="en-US" w:eastAsia="zh-CN"/>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Chars="0"/>
              <w:jc w:val="left"/>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val="en-US" w:eastAsia="zh-CN"/>
              </w:rPr>
              <w:t>1.省级期刊1篇</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lang w:val="en-US" w:eastAsia="zh-CN"/>
              </w:rPr>
              <w:t>（0.1</w:t>
            </w:r>
            <w:r>
              <w:rPr>
                <w:rFonts w:hint="eastAsia" w:ascii="仿宋_GB2312" w:hAnsi="仿宋_GB2312" w:eastAsia="仿宋_GB2312" w:cs="仿宋_GB2312"/>
                <w:color w:val="000000"/>
                <w:sz w:val="24"/>
                <w:highlight w:val="none"/>
              </w:rPr>
              <w:t>分）</w:t>
            </w:r>
          </w:p>
          <w:p>
            <w:pPr>
              <w:numPr>
                <w:ilvl w:val="0"/>
                <w:numId w:val="0"/>
              </w:numPr>
              <w:ind w:leftChars="0"/>
              <w:jc w:val="left"/>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val="en-US" w:eastAsia="zh-CN"/>
              </w:rPr>
              <w:t>2.核心期刊1篇</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lang w:val="en-US" w:eastAsia="zh-CN"/>
              </w:rPr>
              <w:t>（0.5</w:t>
            </w:r>
            <w:r>
              <w:rPr>
                <w:rFonts w:hint="eastAsia" w:ascii="仿宋_GB2312" w:hAnsi="仿宋_GB2312" w:eastAsia="仿宋_GB2312" w:cs="仿宋_GB2312"/>
                <w:color w:val="000000"/>
                <w:sz w:val="24"/>
                <w:highlight w:val="none"/>
              </w:rPr>
              <w:t>分）</w:t>
            </w:r>
          </w:p>
          <w:p>
            <w:pPr>
              <w:numPr>
                <w:ilvl w:val="0"/>
                <w:numId w:val="0"/>
              </w:numPr>
              <w:ind w:left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highlight w:val="none"/>
                <w:lang w:val="en-US" w:eastAsia="zh-CN"/>
              </w:rPr>
              <w:t>3.cssci、sci或三报一刊级别1篇。</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val="en-US" w:eastAsia="zh-CN"/>
              </w:rPr>
              <w:t>1</w:t>
            </w:r>
            <w:r>
              <w:rPr>
                <w:rFonts w:hint="eastAsia" w:ascii="仿宋_GB2312" w:hAnsi="仿宋_GB2312" w:eastAsia="仿宋_GB2312" w:cs="仿宋_GB2312"/>
                <w:color w:val="000000"/>
                <w:sz w:val="24"/>
                <w:highlight w:val="none"/>
              </w:rPr>
              <w:t>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专著</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firstLine="0" w:firstLineChars="0"/>
              <w:jc w:val="both"/>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由学校认定并出版一部。（0.2 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专利</w:t>
            </w:r>
          </w:p>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highlight w:val="none"/>
                <w:lang w:val="en-US" w:eastAsia="zh-CN"/>
              </w:rPr>
              <w:t>（1分）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left="0" w:leftChars="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1.实用新型和外观一项；（0.1分）</w:t>
            </w:r>
          </w:p>
          <w:p>
            <w:pPr>
              <w:numPr>
                <w:ilvl w:val="0"/>
                <w:numId w:val="0"/>
              </w:numPr>
              <w:ind w:left="0" w:leftChars="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lang w:val="en-US" w:eastAsia="zh-CN" w:bidi="ar-SA"/>
              </w:rPr>
              <w:t>2.发明专利一项。（1分）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3.学生工作（15分）</w:t>
            </w: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辅导员队伍</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建设</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1.辅导员量化考核记录完备；（1分）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2.辅导员例会议组织及时，记录完备；（1分）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3.定时组织辅导员工作培训，记录详实。（1分）</w:t>
            </w:r>
          </w:p>
        </w:tc>
        <w:tc>
          <w:tcPr>
            <w:tcW w:w="1448"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党委学生工作部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理想信念教育</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按照团委相关工作部署，在学生中积极开展党的知识学习教育、理想信念教育和社会主义核心价值观教育，并有佐证材料。（2分）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班级管理</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积极加强班级建设和管理。加强对学生思想和日常教育的管理，重视学习管理，对学生参加课外活动进行管理，加强班级制度建设。全系班集体凝聚力强，学生严格执行校纪校规。班级整体积极向上，有优良的班风、学风，且没有发生安全责任事故；（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2.学生违纪率≤1.5%，学费缴交率≥98%，出勤率≥95%，学生文明离校。（1分）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学生档案管理</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1.建全学生档案资料，按年度存档；（1分）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2.及时办理休、退、复学相关手续，并在线上办理结束后3个工作日内提交纸质材料。（1分）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校园文化、</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竞赛活动</w:t>
            </w:r>
          </w:p>
          <w:p>
            <w:pPr>
              <w:bidi w:val="0"/>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1.按照团委要求开展“三下乡”和“返家乡”等社会实践和校园文化活动，成绩优异；（1-2分）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2.配合团委带队参加有利于学生全面发展的各项比赛获得奖项。（按获奖情况1-3分）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4.招生就业工作</w:t>
            </w:r>
          </w:p>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（25分）</w:t>
            </w: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招生工作</w:t>
            </w:r>
          </w:p>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（10分）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1.媒体宣传视频、软文提交、QQ群服务；招生计划、总结、会议记录等情况 ：积极5分，完成2分，其他0分；（咨询回答及时、准确；系提供文字材料相应宣传内容丰沛、及时，宣传效果好为积极；系相应招生宣传内容及时完结完成。该项工作根据职能部门相关通知要求考核。）</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2.学校招生工作整体下达任务执行情况：积极5分，完成2分，其他0分。（积极参与招生会议，招生相关任务完成及时、高效为积极；能够按时完成学校招生下达相关任务为完成）</w:t>
            </w:r>
          </w:p>
        </w:tc>
        <w:tc>
          <w:tcPr>
            <w:tcW w:w="1448" w:type="dxa"/>
            <w:vMerge w:val="restart"/>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595"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就业工作</w:t>
            </w:r>
          </w:p>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（15分）</w:t>
            </w: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初次、年终就业率根据排名进行赋分：第一名4分，第二名3分，第三名2分，第四名1分，第五名不计分；高于省内高职院校初次、年终就业率平均水平的5%加1分。（该项具体时间要求参照省级、学校职能部门要求考核）</w:t>
            </w:r>
          </w:p>
          <w:p>
            <w:pPr>
              <w:bidi w:val="0"/>
              <w:jc w:val="left"/>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2.就业管理系统周期信息工作情况：及时完成5分，其他0分；（该项具体时间要求参照省级文件要求考核）</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3.创新创业、竞赛、学生就业创业相关事项等情况：获得国家级奖项得2分，省级一等奖得1分，省级二、三等奖得0.5分；不积极参与、抄袭出现问题的扣2分；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4.访企拓岗完成学校要求、积极发动系（专业）人员参与就业、招聘会、就业培训会议等情况：完成2分，其他0分，相关工作保质保量进行为完成。（该项具体要求参照省级文件、职能部门相关通知要求考核）</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5.招生、就业工作年初有计划年终有总结，人员配置、定期召开招就会议：完成1分，其他0分。</w:t>
            </w:r>
          </w:p>
        </w:tc>
        <w:tc>
          <w:tcPr>
            <w:tcW w:w="1448" w:type="dxa"/>
            <w:vMerge w:val="continue"/>
            <w:tcBorders>
              <w:left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595" w:type="dxa"/>
            <w:vMerge w:val="continue"/>
            <w:tcBorders>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c>
          <w:tcPr>
            <w:tcW w:w="1819"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p>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重点提示</w:t>
            </w:r>
          </w:p>
          <w:p>
            <w:pPr>
              <w:bidi w:val="0"/>
              <w:jc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8527"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1.在就业工作中出现弄虚作假、推诿等情况，就业工作总分计0分；</w:t>
            </w:r>
          </w:p>
          <w:p>
            <w:pPr>
              <w:bidi w:val="0"/>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因工作不当产生负面影响的，总体酌情扣分；影响恶劣的，直接定为不合格；3.就业工作评价结果，将作为学校对各系书记、主任及对应毕业班辅导员（班主任）、毕设指导教师等人员年终考核相关工作的主要参考，也作为评优评先、招生计划安排等的重要参考依据。</w:t>
            </w:r>
          </w:p>
        </w:tc>
        <w:tc>
          <w:tcPr>
            <w:tcW w:w="1448" w:type="dxa"/>
            <w:vMerge w:val="continue"/>
            <w:tcBorders>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b/>
                <w:bCs/>
                <w:kern w:val="2"/>
                <w:sz w:val="28"/>
                <w:szCs w:val="28"/>
                <w:highlight w:val="none"/>
                <w:vertAlign w:val="baseline"/>
                <w:lang w:val="en-US" w:eastAsia="zh-CN" w:bidi="ar-SA"/>
              </w:rPr>
            </w:pPr>
          </w:p>
        </w:tc>
      </w:tr>
    </w:tbl>
    <w:p>
      <w:pPr>
        <w:keepNext w:val="0"/>
        <w:keepLines w:val="0"/>
        <w:widowControl/>
        <w:suppressLineNumbers w:val="0"/>
        <w:jc w:val="both"/>
        <w:rPr>
          <w:rFonts w:hint="eastAsia" w:ascii="黑体" w:hAnsi="宋体" w:eastAsia="黑体" w:cs="黑体"/>
          <w:color w:val="000000"/>
          <w:kern w:val="0"/>
          <w:sz w:val="31"/>
          <w:szCs w:val="31"/>
          <w:highlight w:val="none"/>
          <w:lang w:val="en-US" w:eastAsia="zh-CN" w:bidi="ar"/>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56F3B-8317-40C9-ABAC-F17E738FEF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826335-B9AF-4A3C-B9EC-18F312460048}"/>
  </w:font>
  <w:font w:name="华文中宋">
    <w:panose1 w:val="02010600040101010101"/>
    <w:charset w:val="86"/>
    <w:family w:val="auto"/>
    <w:pitch w:val="default"/>
    <w:sig w:usb0="00000287" w:usb1="080F0000" w:usb2="00000000" w:usb3="00000000" w:csb0="0004009F" w:csb1="DFD70000"/>
    <w:embedRegular r:id="rId3" w:fontKey="{1BCA981C-08A6-4CBD-A4CC-F9636D55E092}"/>
  </w:font>
  <w:font w:name="方正小标宋_GBK">
    <w:panose1 w:val="02000000000000000000"/>
    <w:charset w:val="86"/>
    <w:family w:val="auto"/>
    <w:pitch w:val="default"/>
    <w:sig w:usb0="A00002BF" w:usb1="38CF7CFA" w:usb2="00082016" w:usb3="00000000" w:csb0="00040001" w:csb1="00000000"/>
    <w:embedRegular r:id="rId4" w:fontKey="{F5B7C950-E722-4D23-BA83-CF37CCECEE41}"/>
  </w:font>
  <w:font w:name="仿宋_GB2312">
    <w:altName w:val="仿宋"/>
    <w:panose1 w:val="02010609030101010101"/>
    <w:charset w:val="86"/>
    <w:family w:val="auto"/>
    <w:pitch w:val="default"/>
    <w:sig w:usb0="00000000" w:usb1="00000000" w:usb2="00000000" w:usb3="00000000" w:csb0="00040000" w:csb1="00000000"/>
    <w:embedRegular r:id="rId5" w:fontKey="{D16BB42E-2A28-4514-B966-087FCEEAF24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GNmNDNjYmM4OWVjMTk0YzA4OWMwYmE5ZDQ3MDUifQ=="/>
  </w:docVars>
  <w:rsids>
    <w:rsidRoot w:val="5E4B5A04"/>
    <w:rsid w:val="5E4B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firstLine="200" w:firstLineChars="200"/>
    </w:pPr>
    <w:rPr>
      <w:szCs w:val="24"/>
    </w:rPr>
  </w:style>
  <w:style w:type="paragraph" w:styleId="3">
    <w:name w:val="Body Text Indent"/>
    <w:basedOn w:val="1"/>
    <w:next w:val="1"/>
    <w:qFormat/>
    <w:uiPriority w:val="0"/>
    <w:pPr>
      <w:spacing w:line="300" w:lineRule="auto"/>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2024-06-06T09:11:00Z</dcterms:created>
  <dc:creator>工艺美院王迪</dc:creator>
  <cp:lastModifiedBy>工艺美院王迪</cp:lastModifiedBy>
  <dcterms:modified xsi:type="dcterms:W3CDTF">2024-06-06T09:11:45Z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74228EBEB332496CB3586B3CDD7E26F0_11</vt:lpwstr>
  </property>
</Properties>
</file>